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2005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05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., 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Сказатову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Павловичу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ст.ст.167, 194-199 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Сказатов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потребительского займа №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заключенному с </w:t>
      </w:r>
      <w:r>
        <w:rPr>
          <w:rFonts w:ascii="Times New Roman" w:eastAsia="Times New Roman" w:hAnsi="Times New Roman" w:cs="Times New Roman"/>
          <w:sz w:val="28"/>
          <w:szCs w:val="28"/>
        </w:rPr>
        <w:t>ООО «Да-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редит МКК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образовавшуюся с </w:t>
      </w:r>
      <w:r>
        <w:rPr>
          <w:rFonts w:ascii="Times New Roman" w:eastAsia="Times New Roman" w:hAnsi="Times New Roman" w:cs="Times New Roman"/>
          <w:sz w:val="28"/>
          <w:szCs w:val="28"/>
        </w:rPr>
        <w:t>03.02.2025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основному долгу, </w:t>
      </w:r>
      <w:r>
        <w:rPr>
          <w:rStyle w:val="cat-Sumgrp-13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процентам, </w:t>
      </w:r>
      <w:r>
        <w:rPr>
          <w:rStyle w:val="cat-Sumgrp-14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комиссиям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5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пеням,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6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05 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2005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Sumgrp-14rplc-23">
    <w:name w:val="cat-Sum grp-14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Sumgrp-16rplc-25">
    <w:name w:val="cat-Sum grp-16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